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Manual handling assessment</w:t>
      </w:r>
    </w:p>
    <w:p>
      <w:r>
        <w:rPr>
          <w:color w:val="5B6570"/>
        </w:rPr>
        <w:t>[Your company name]   ·   MH-001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/ location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Load (item, weight, dimensions)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Frequency and distance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TILE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Factor</w:t>
            </w:r>
          </w:p>
        </w:tc>
        <w:tc>
          <w:tcPr>
            <w:tcW w:type="dxa" w:w="2550"/>
          </w:tcPr>
          <w:p>
            <w:r>
              <w:rPr>
                <w:b/>
              </w:rPr>
              <w:t>Problems found</w:t>
            </w:r>
          </w:p>
        </w:tc>
        <w:tc>
          <w:tcPr>
            <w:tcW w:type="dxa" w:w="2550"/>
          </w:tcPr>
          <w:p>
            <w:r>
              <w:rPr>
                <w:b/>
              </w:rPr>
              <w:t>Risk (L/M/H)</w:t>
            </w:r>
          </w:p>
        </w:tc>
        <w:tc>
          <w:tcPr>
            <w:tcW w:type="dxa" w:w="2550"/>
          </w:tcPr>
          <w:p>
            <w:r>
              <w:rPr>
                <w:b/>
              </w:rPr>
              <w:t>Controls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Mechanical aids to be used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Team lifting arrangements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Training given (date)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Assessed by / date / 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