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Health and safety policy</w:t>
      </w:r>
    </w:p>
    <w:p>
      <w:r>
        <w:rPr>
          <w:color w:val="5B6570"/>
        </w:rPr>
        <w:t>[Your company name]   ·   POL-001 · Rev A</w:t>
      </w:r>
    </w:p>
    <w:p>
      <w:pPr>
        <w:pStyle w:val="Heading2"/>
      </w:pPr>
      <w:r>
        <w:t>Part 1. Statement of intent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Signed (owner / director)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pPr>
        <w:pStyle w:val="Heading2"/>
      </w:pPr>
      <w:r>
        <w:t>Part 2. Responsibilities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Responsibility</w:t>
            </w:r>
          </w:p>
        </w:tc>
        <w:tc>
          <w:tcPr>
            <w:tcW w:type="dxa" w:w="5100"/>
          </w:tcPr>
          <w:p>
            <w:r>
              <w:rPr>
                <w:b/>
              </w:rPr>
              <w:t>Name / role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pPr>
        <w:pStyle w:val="Heading2"/>
      </w:pPr>
      <w:r>
        <w:t>Part 3. Arrangements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Risk assessments and RAMS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Hazardous substances (COSHH)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Work at height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Plant, tools and equipment checks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Training and competence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Consulting with employees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First aid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Accident and incident reporting (RIDDOR)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Fire and emergencies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Welfare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Monitoring and review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