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Dynamic risk assessment card</w:t>
      </w:r>
    </w:p>
    <w:p>
      <w:r>
        <w:rPr>
          <w:color w:val="5B6570"/>
        </w:rPr>
        <w:t>[Your company name]   ·   DRA-001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and task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What has changed?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Is the work area as expected in the RAMS?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Are there new hazards (weather, ground, other trades, services)?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Do I have the right equipment and PPE?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Is everyone competent for the changed task?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Are emergency arrangements still adequate?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Extra controls put in place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Decision: continue / continue with controls / stop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Supervisor informed (name, 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