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Artex and textured coating checklist</w:t>
      </w:r>
    </w:p>
    <w:p>
      <w:r>
        <w:rPr>
          <w:color w:val="5B6570"/>
        </w:rPr>
        <w:t>[Your company name]   ·   ASB-ARTEX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Date the coating was applied (or property age) recorded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Sample tested by a UKAS-accredited lab (lab name, result)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Each room or coating of a different age tested separately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Coating in good condition with no cracking, flaking or water damage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Planned work avoids sanding, dry scraping and power tools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Contractor told about the result before work starts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Fixings through the coating follow HSE task sheets A26/A27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Waste from removal disposed of as hazardous waste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